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163" w:rsidRDefault="00EA7163" w:rsidP="00EA7163">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BA260B">
        <w:rPr>
          <w:rFonts w:ascii="Arial" w:hAnsi="Arial" w:cs="Arial"/>
          <w:bCs/>
          <w:spacing w:val="-3"/>
          <w:sz w:val="22"/>
          <w:szCs w:val="22"/>
        </w:rPr>
        <w:t xml:space="preserve">The Crime and Misconduct Commission (CMC) has an important role in </w:t>
      </w:r>
      <w:smartTag w:uri="urn:schemas-microsoft-com:office:smarttags" w:element="State">
        <w:smartTag w:uri="urn:schemas-microsoft-com:office:smarttags" w:element="place">
          <w:smartTag w:uri="urn:schemas-microsoft-com:office:smarttags" w:element="PlaceName">
            <w:r w:rsidRPr="00BA260B">
              <w:rPr>
                <w:rFonts w:ascii="Arial" w:hAnsi="Arial" w:cs="Arial"/>
                <w:bCs/>
                <w:spacing w:val="-3"/>
                <w:sz w:val="22"/>
                <w:szCs w:val="22"/>
              </w:rPr>
              <w:t>Queensland</w:t>
            </w:r>
          </w:smartTag>
        </w:smartTag>
      </w:smartTag>
      <w:r w:rsidRPr="00BA260B">
        <w:rPr>
          <w:rFonts w:ascii="Arial" w:hAnsi="Arial" w:cs="Arial"/>
          <w:bCs/>
          <w:spacing w:val="-3"/>
          <w:sz w:val="22"/>
          <w:szCs w:val="22"/>
        </w:rPr>
        <w:t xml:space="preserve"> to combat major crime, investigate misconduct in the public sector and improve public sector integrity.</w:t>
      </w:r>
      <w:r>
        <w:rPr>
          <w:rFonts w:ascii="Arial" w:hAnsi="Arial" w:cs="Arial"/>
          <w:bCs/>
          <w:spacing w:val="-3"/>
          <w:sz w:val="22"/>
          <w:szCs w:val="22"/>
        </w:rPr>
        <w:t xml:space="preserve">  </w:t>
      </w:r>
    </w:p>
    <w:p w:rsidR="00737FB4" w:rsidRPr="00737FB4" w:rsidRDefault="00737FB4" w:rsidP="00737FB4">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Cabinet considered </w:t>
      </w:r>
      <w:r w:rsidRPr="00737FB4">
        <w:rPr>
          <w:rFonts w:ascii="Arial" w:hAnsi="Arial" w:cs="Arial"/>
          <w:bCs/>
          <w:spacing w:val="-3"/>
          <w:sz w:val="22"/>
          <w:szCs w:val="22"/>
        </w:rPr>
        <w:t xml:space="preserve">the </w:t>
      </w:r>
      <w:r>
        <w:rPr>
          <w:rFonts w:ascii="Arial" w:hAnsi="Arial" w:cs="Arial"/>
          <w:bCs/>
          <w:spacing w:val="-3"/>
          <w:sz w:val="22"/>
          <w:szCs w:val="22"/>
        </w:rPr>
        <w:t xml:space="preserve">recommendations of the </w:t>
      </w:r>
      <w:r w:rsidRPr="00737FB4">
        <w:rPr>
          <w:rFonts w:ascii="Arial" w:hAnsi="Arial" w:cs="Arial"/>
          <w:bCs/>
          <w:spacing w:val="-3"/>
          <w:sz w:val="22"/>
          <w:szCs w:val="22"/>
        </w:rPr>
        <w:t xml:space="preserve">Parliamentary Crime and Misconduct Committee Report No. 90, </w:t>
      </w:r>
      <w:r w:rsidRPr="00737FB4">
        <w:rPr>
          <w:rFonts w:ascii="Arial" w:hAnsi="Arial" w:cs="Arial"/>
          <w:bCs/>
          <w:i/>
          <w:spacing w:val="-3"/>
          <w:sz w:val="22"/>
          <w:szCs w:val="22"/>
        </w:rPr>
        <w:t>Inquiry into the Crime and Misconduct Commission’s release and destruction of Fitzgerald Inquiry documents</w:t>
      </w:r>
      <w:r w:rsidRPr="00737FB4">
        <w:rPr>
          <w:rFonts w:ascii="Arial" w:hAnsi="Arial" w:cs="Arial"/>
          <w:bCs/>
          <w:spacing w:val="-3"/>
          <w:sz w:val="22"/>
          <w:szCs w:val="22"/>
        </w:rPr>
        <w:t xml:space="preserve"> (the PCMC Report) tabled in the Legislative Assembly on 5 April 2013 and the</w:t>
      </w:r>
      <w:r>
        <w:rPr>
          <w:rFonts w:ascii="Arial" w:hAnsi="Arial" w:cs="Arial"/>
          <w:bCs/>
          <w:spacing w:val="-3"/>
          <w:sz w:val="22"/>
          <w:szCs w:val="22"/>
        </w:rPr>
        <w:t xml:space="preserve"> recommendations of the</w:t>
      </w:r>
      <w:r w:rsidRPr="00737FB4">
        <w:rPr>
          <w:rFonts w:ascii="Arial" w:hAnsi="Arial" w:cs="Arial"/>
          <w:bCs/>
          <w:spacing w:val="-3"/>
          <w:sz w:val="22"/>
          <w:szCs w:val="22"/>
        </w:rPr>
        <w:t xml:space="preserve"> Independent Advisory Panel report, </w:t>
      </w:r>
      <w:r w:rsidRPr="00737FB4">
        <w:rPr>
          <w:rFonts w:ascii="Arial" w:hAnsi="Arial" w:cs="Arial"/>
          <w:bCs/>
          <w:i/>
          <w:spacing w:val="-3"/>
          <w:sz w:val="22"/>
          <w:szCs w:val="22"/>
        </w:rPr>
        <w:t>Review of the Crime and Misconduct Act 2001 and related matters</w:t>
      </w:r>
      <w:r w:rsidRPr="00737FB4">
        <w:rPr>
          <w:rFonts w:ascii="Arial" w:hAnsi="Arial" w:cs="Arial"/>
          <w:bCs/>
          <w:spacing w:val="-3"/>
          <w:sz w:val="22"/>
          <w:szCs w:val="22"/>
        </w:rPr>
        <w:t xml:space="preserve"> (</w:t>
      </w:r>
      <w:r w:rsidR="00D53E79">
        <w:rPr>
          <w:rFonts w:ascii="Arial" w:hAnsi="Arial" w:cs="Arial"/>
          <w:bCs/>
          <w:spacing w:val="-3"/>
          <w:sz w:val="22"/>
          <w:szCs w:val="22"/>
        </w:rPr>
        <w:t xml:space="preserve">the </w:t>
      </w:r>
      <w:r w:rsidRPr="00737FB4">
        <w:rPr>
          <w:rFonts w:ascii="Arial" w:hAnsi="Arial" w:cs="Arial"/>
          <w:bCs/>
          <w:spacing w:val="-3"/>
          <w:sz w:val="22"/>
          <w:szCs w:val="22"/>
        </w:rPr>
        <w:t xml:space="preserve">Callinan/Aroney report) tabled in the Legislative Assembly on 18 April 2013.  </w:t>
      </w:r>
    </w:p>
    <w:p w:rsidR="00635E9D" w:rsidRPr="00BA260B" w:rsidRDefault="00635E9D" w:rsidP="00635E9D">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Pr="00BA260B">
        <w:rPr>
          <w:rFonts w:ascii="Arial" w:hAnsi="Arial" w:cs="Arial"/>
          <w:bCs/>
          <w:spacing w:val="-3"/>
          <w:sz w:val="22"/>
          <w:szCs w:val="22"/>
        </w:rPr>
        <w:t>he P</w:t>
      </w:r>
      <w:r>
        <w:rPr>
          <w:rFonts w:ascii="Arial" w:hAnsi="Arial" w:cs="Arial"/>
          <w:bCs/>
          <w:spacing w:val="-3"/>
          <w:sz w:val="22"/>
          <w:szCs w:val="22"/>
        </w:rPr>
        <w:t xml:space="preserve">CMC report of </w:t>
      </w:r>
      <w:r w:rsidR="001C40A2">
        <w:rPr>
          <w:rFonts w:ascii="Arial" w:hAnsi="Arial" w:cs="Arial"/>
          <w:bCs/>
          <w:spacing w:val="-3"/>
          <w:sz w:val="22"/>
          <w:szCs w:val="22"/>
        </w:rPr>
        <w:t xml:space="preserve">its </w:t>
      </w:r>
      <w:r w:rsidRPr="00BA260B">
        <w:rPr>
          <w:rFonts w:ascii="Arial" w:hAnsi="Arial" w:cs="Arial"/>
          <w:bCs/>
          <w:spacing w:val="-3"/>
          <w:sz w:val="22"/>
          <w:szCs w:val="22"/>
        </w:rPr>
        <w:t xml:space="preserve">inquiry into the CMC’s release and destruction of confidential Fitzgerald Commission of Inquiry documents contains 24 recommendations, many of which are aimed at improving the internal practices, processes and culture within the CMC and other public sector agencies for the protection of confidential historical information. </w:t>
      </w:r>
    </w:p>
    <w:p w:rsidR="00635E9D" w:rsidRPr="00BA260B" w:rsidRDefault="00635E9D" w:rsidP="00635E9D">
      <w:pPr>
        <w:numPr>
          <w:ilvl w:val="0"/>
          <w:numId w:val="1"/>
        </w:numPr>
        <w:tabs>
          <w:tab w:val="clear" w:pos="720"/>
          <w:tab w:val="num" w:pos="360"/>
        </w:tabs>
        <w:spacing w:before="240"/>
        <w:ind w:left="360"/>
        <w:jc w:val="both"/>
        <w:rPr>
          <w:rFonts w:ascii="Arial" w:hAnsi="Arial" w:cs="Arial"/>
          <w:bCs/>
          <w:spacing w:val="-3"/>
          <w:sz w:val="22"/>
          <w:szCs w:val="22"/>
        </w:rPr>
      </w:pPr>
      <w:r w:rsidRPr="00BA260B">
        <w:rPr>
          <w:rFonts w:ascii="Arial" w:hAnsi="Arial" w:cs="Arial"/>
          <w:bCs/>
          <w:spacing w:val="-3"/>
          <w:sz w:val="22"/>
          <w:szCs w:val="22"/>
        </w:rPr>
        <w:t xml:space="preserve">The Callinan/Aroney Report contains </w:t>
      </w:r>
      <w:r w:rsidR="00006AC8" w:rsidRPr="00A16417">
        <w:rPr>
          <w:rFonts w:ascii="Arial" w:hAnsi="Arial" w:cs="Arial"/>
          <w:bCs/>
          <w:spacing w:val="-3"/>
          <w:sz w:val="22"/>
          <w:szCs w:val="22"/>
        </w:rPr>
        <w:t>23</w:t>
      </w:r>
      <w:r w:rsidR="00006AC8">
        <w:rPr>
          <w:rFonts w:ascii="Arial" w:hAnsi="Arial" w:cs="Arial"/>
          <w:bCs/>
          <w:spacing w:val="-3"/>
          <w:sz w:val="22"/>
          <w:szCs w:val="22"/>
        </w:rPr>
        <w:t xml:space="preserve"> </w:t>
      </w:r>
      <w:r w:rsidRPr="00BA260B">
        <w:rPr>
          <w:rFonts w:ascii="Arial" w:hAnsi="Arial" w:cs="Arial"/>
          <w:bCs/>
          <w:spacing w:val="-3"/>
          <w:sz w:val="22"/>
          <w:szCs w:val="22"/>
        </w:rPr>
        <w:t>recommendations aimed at ensuring the CMC operates more effectively and is able to focus on its primary major crime and misconduct functions.</w:t>
      </w:r>
    </w:p>
    <w:p w:rsidR="00D53E79" w:rsidRDefault="00BA260B" w:rsidP="00635E9D">
      <w:pPr>
        <w:numPr>
          <w:ilvl w:val="0"/>
          <w:numId w:val="1"/>
        </w:numPr>
        <w:tabs>
          <w:tab w:val="clear" w:pos="720"/>
          <w:tab w:val="num" w:pos="360"/>
        </w:tabs>
        <w:spacing w:before="240"/>
        <w:ind w:left="360"/>
        <w:jc w:val="both"/>
        <w:rPr>
          <w:rFonts w:ascii="Arial" w:hAnsi="Arial" w:cs="Arial"/>
          <w:bCs/>
          <w:spacing w:val="-3"/>
          <w:sz w:val="22"/>
          <w:szCs w:val="22"/>
        </w:rPr>
      </w:pPr>
      <w:bookmarkStart w:id="1" w:name="Text4"/>
      <w:r w:rsidRPr="00BA260B">
        <w:rPr>
          <w:rFonts w:ascii="Arial" w:hAnsi="Arial" w:cs="Arial"/>
          <w:bCs/>
          <w:spacing w:val="-3"/>
          <w:sz w:val="22"/>
          <w:szCs w:val="22"/>
        </w:rPr>
        <w:t>Implementation of the recommendations from both reports will lead to</w:t>
      </w:r>
      <w:r w:rsidR="00D53E79" w:rsidRPr="00D53E79">
        <w:rPr>
          <w:rFonts w:ascii="Arial" w:hAnsi="Arial" w:cs="Arial"/>
          <w:bCs/>
          <w:spacing w:val="-3"/>
          <w:sz w:val="22"/>
          <w:szCs w:val="22"/>
        </w:rPr>
        <w:t xml:space="preserve"> an improvement in: </w:t>
      </w:r>
      <w:r w:rsidRPr="00BA260B">
        <w:rPr>
          <w:rFonts w:ascii="Arial" w:hAnsi="Arial" w:cs="Arial"/>
          <w:bCs/>
          <w:spacing w:val="-3"/>
          <w:sz w:val="22"/>
          <w:szCs w:val="22"/>
        </w:rPr>
        <w:t xml:space="preserve"> </w:t>
      </w:r>
    </w:p>
    <w:p w:rsidR="00D53E79" w:rsidRDefault="00BA260B" w:rsidP="00D53E79">
      <w:pPr>
        <w:numPr>
          <w:ilvl w:val="0"/>
          <w:numId w:val="3"/>
        </w:numPr>
        <w:spacing w:before="120"/>
        <w:ind w:left="714" w:hanging="357"/>
        <w:jc w:val="both"/>
        <w:rPr>
          <w:rFonts w:ascii="Arial" w:hAnsi="Arial" w:cs="Arial"/>
          <w:bCs/>
          <w:spacing w:val="-3"/>
          <w:sz w:val="22"/>
          <w:szCs w:val="22"/>
        </w:rPr>
      </w:pPr>
      <w:r w:rsidRPr="00BA260B">
        <w:rPr>
          <w:rFonts w:ascii="Arial" w:hAnsi="Arial" w:cs="Arial"/>
          <w:bCs/>
          <w:spacing w:val="-3"/>
          <w:sz w:val="22"/>
          <w:szCs w:val="22"/>
        </w:rPr>
        <w:t xml:space="preserve">public confidence in the CMC; </w:t>
      </w:r>
    </w:p>
    <w:p w:rsidR="00D53E79" w:rsidRDefault="00BA260B" w:rsidP="00D53E79">
      <w:pPr>
        <w:numPr>
          <w:ilvl w:val="0"/>
          <w:numId w:val="3"/>
        </w:numPr>
        <w:spacing w:before="120"/>
        <w:ind w:left="714" w:hanging="357"/>
        <w:jc w:val="both"/>
        <w:rPr>
          <w:rFonts w:ascii="Arial" w:hAnsi="Arial" w:cs="Arial"/>
          <w:bCs/>
          <w:spacing w:val="-3"/>
          <w:sz w:val="22"/>
          <w:szCs w:val="22"/>
        </w:rPr>
      </w:pPr>
      <w:r w:rsidRPr="00BA260B">
        <w:rPr>
          <w:rFonts w:ascii="Arial" w:hAnsi="Arial" w:cs="Arial"/>
          <w:bCs/>
          <w:spacing w:val="-3"/>
          <w:sz w:val="22"/>
          <w:szCs w:val="22"/>
        </w:rPr>
        <w:t xml:space="preserve">timeliness of the investigation of complaints; </w:t>
      </w:r>
    </w:p>
    <w:p w:rsidR="00D53E79" w:rsidRDefault="00BA260B" w:rsidP="00D53E79">
      <w:pPr>
        <w:numPr>
          <w:ilvl w:val="0"/>
          <w:numId w:val="3"/>
        </w:numPr>
        <w:spacing w:before="120"/>
        <w:ind w:left="714" w:hanging="357"/>
        <w:jc w:val="both"/>
        <w:rPr>
          <w:rFonts w:ascii="Arial" w:hAnsi="Arial" w:cs="Arial"/>
          <w:bCs/>
          <w:spacing w:val="-3"/>
          <w:sz w:val="22"/>
          <w:szCs w:val="22"/>
        </w:rPr>
      </w:pPr>
      <w:r w:rsidRPr="00BA260B">
        <w:rPr>
          <w:rFonts w:ascii="Arial" w:hAnsi="Arial" w:cs="Arial"/>
          <w:bCs/>
          <w:spacing w:val="-3"/>
          <w:sz w:val="22"/>
          <w:szCs w:val="22"/>
        </w:rPr>
        <w:t xml:space="preserve">operational and corporate governance structures within the CMC; </w:t>
      </w:r>
    </w:p>
    <w:p w:rsidR="00D53E79" w:rsidRDefault="00BA260B" w:rsidP="00D53E79">
      <w:pPr>
        <w:numPr>
          <w:ilvl w:val="0"/>
          <w:numId w:val="3"/>
        </w:numPr>
        <w:spacing w:before="120"/>
        <w:ind w:left="714" w:hanging="357"/>
        <w:jc w:val="both"/>
        <w:rPr>
          <w:rFonts w:ascii="Arial" w:hAnsi="Arial" w:cs="Arial"/>
          <w:bCs/>
          <w:spacing w:val="-3"/>
          <w:sz w:val="22"/>
          <w:szCs w:val="22"/>
        </w:rPr>
      </w:pPr>
      <w:r w:rsidRPr="00BA260B">
        <w:rPr>
          <w:rFonts w:ascii="Arial" w:hAnsi="Arial" w:cs="Arial"/>
          <w:bCs/>
          <w:spacing w:val="-3"/>
          <w:sz w:val="22"/>
          <w:szCs w:val="22"/>
        </w:rPr>
        <w:t xml:space="preserve">current culture within the CMC; </w:t>
      </w:r>
    </w:p>
    <w:p w:rsidR="00D53E79" w:rsidRDefault="00BA260B" w:rsidP="00D53E79">
      <w:pPr>
        <w:numPr>
          <w:ilvl w:val="0"/>
          <w:numId w:val="3"/>
        </w:numPr>
        <w:spacing w:before="120"/>
        <w:ind w:left="714" w:hanging="357"/>
        <w:jc w:val="both"/>
        <w:rPr>
          <w:rFonts w:ascii="Arial" w:hAnsi="Arial" w:cs="Arial"/>
          <w:bCs/>
          <w:spacing w:val="-3"/>
          <w:sz w:val="22"/>
          <w:szCs w:val="22"/>
        </w:rPr>
      </w:pPr>
      <w:r w:rsidRPr="00BA260B">
        <w:rPr>
          <w:rFonts w:ascii="Arial" w:hAnsi="Arial" w:cs="Arial"/>
          <w:bCs/>
          <w:spacing w:val="-3"/>
          <w:sz w:val="22"/>
          <w:szCs w:val="22"/>
        </w:rPr>
        <w:t xml:space="preserve">CMC’s internal complaint management systems for misconduct matters; and </w:t>
      </w:r>
    </w:p>
    <w:p w:rsidR="00BA260B" w:rsidRPr="00BA260B" w:rsidRDefault="00BA260B" w:rsidP="00D53E79">
      <w:pPr>
        <w:numPr>
          <w:ilvl w:val="0"/>
          <w:numId w:val="3"/>
        </w:numPr>
        <w:spacing w:before="120"/>
        <w:ind w:left="714" w:hanging="357"/>
        <w:jc w:val="both"/>
        <w:rPr>
          <w:rFonts w:ascii="Arial" w:hAnsi="Arial" w:cs="Arial"/>
          <w:bCs/>
          <w:spacing w:val="-3"/>
          <w:sz w:val="22"/>
          <w:szCs w:val="22"/>
        </w:rPr>
      </w:pPr>
      <w:r w:rsidRPr="00BA260B">
        <w:rPr>
          <w:rFonts w:ascii="Arial" w:hAnsi="Arial" w:cs="Arial"/>
          <w:bCs/>
          <w:spacing w:val="-3"/>
          <w:sz w:val="22"/>
          <w:szCs w:val="22"/>
        </w:rPr>
        <w:t>internal processes and procedures in the CMC and related agencies.</w:t>
      </w:r>
    </w:p>
    <w:bookmarkEnd w:id="1"/>
    <w:p w:rsidR="00737FB4" w:rsidRPr="00BA260B" w:rsidRDefault="00737FB4" w:rsidP="00E377F3">
      <w:pPr>
        <w:numPr>
          <w:ilvl w:val="0"/>
          <w:numId w:val="1"/>
        </w:numPr>
        <w:tabs>
          <w:tab w:val="clear" w:pos="720"/>
          <w:tab w:val="num" w:pos="360"/>
        </w:tabs>
        <w:spacing w:before="240" w:after="240"/>
        <w:ind w:left="357" w:hanging="357"/>
        <w:jc w:val="both"/>
        <w:rPr>
          <w:rFonts w:ascii="Arial" w:hAnsi="Arial" w:cs="Arial"/>
          <w:bCs/>
          <w:spacing w:val="-3"/>
          <w:sz w:val="22"/>
          <w:szCs w:val="22"/>
          <w:u w:val="single"/>
        </w:rPr>
      </w:pPr>
      <w:r w:rsidRPr="00737FB4">
        <w:rPr>
          <w:rFonts w:ascii="Arial" w:hAnsi="Arial" w:cs="Arial"/>
          <w:bCs/>
          <w:spacing w:val="-3"/>
          <w:sz w:val="22"/>
          <w:szCs w:val="22"/>
          <w:u w:val="single"/>
        </w:rPr>
        <w:t xml:space="preserve">Cabinet </w:t>
      </w:r>
      <w:r w:rsidRPr="00737FB4">
        <w:rPr>
          <w:rFonts w:ascii="Arial" w:hAnsi="Arial" w:cs="Arial"/>
          <w:sz w:val="22"/>
          <w:szCs w:val="22"/>
          <w:u w:val="single"/>
        </w:rPr>
        <w:t>approved</w:t>
      </w:r>
      <w:r w:rsidR="00BA260B">
        <w:rPr>
          <w:rFonts w:ascii="Arial" w:hAnsi="Arial" w:cs="Arial"/>
          <w:sz w:val="22"/>
          <w:szCs w:val="22"/>
          <w:u w:val="single"/>
        </w:rPr>
        <w:t xml:space="preserve"> </w:t>
      </w:r>
      <w:r w:rsidR="00BA260B">
        <w:rPr>
          <w:rFonts w:ascii="Arial" w:hAnsi="Arial" w:cs="Arial"/>
          <w:sz w:val="22"/>
          <w:szCs w:val="22"/>
        </w:rPr>
        <w:t xml:space="preserve">the tabling in the </w:t>
      </w:r>
      <w:r w:rsidR="002B11F5">
        <w:rPr>
          <w:rFonts w:ascii="Arial" w:hAnsi="Arial" w:cs="Arial"/>
          <w:sz w:val="22"/>
          <w:szCs w:val="22"/>
        </w:rPr>
        <w:t>L</w:t>
      </w:r>
      <w:r w:rsidR="00BA260B">
        <w:rPr>
          <w:rFonts w:ascii="Arial" w:hAnsi="Arial" w:cs="Arial"/>
          <w:sz w:val="22"/>
          <w:szCs w:val="22"/>
        </w:rPr>
        <w:t xml:space="preserve">egislative </w:t>
      </w:r>
      <w:r w:rsidR="002B11F5">
        <w:rPr>
          <w:rFonts w:ascii="Arial" w:hAnsi="Arial" w:cs="Arial"/>
          <w:sz w:val="22"/>
          <w:szCs w:val="22"/>
        </w:rPr>
        <w:t>A</w:t>
      </w:r>
      <w:r w:rsidR="00BA260B">
        <w:rPr>
          <w:rFonts w:ascii="Arial" w:hAnsi="Arial" w:cs="Arial"/>
          <w:sz w:val="22"/>
          <w:szCs w:val="22"/>
        </w:rPr>
        <w:t xml:space="preserve">ssembly </w:t>
      </w:r>
      <w:r w:rsidR="00BA260B" w:rsidRPr="00BA260B">
        <w:rPr>
          <w:rFonts w:ascii="Arial" w:hAnsi="Arial" w:cs="Arial"/>
          <w:bCs/>
          <w:spacing w:val="-3"/>
          <w:sz w:val="22"/>
          <w:szCs w:val="22"/>
        </w:rPr>
        <w:t xml:space="preserve">of the </w:t>
      </w:r>
      <w:r w:rsidR="00BA260B">
        <w:rPr>
          <w:rFonts w:ascii="Arial" w:hAnsi="Arial" w:cs="Arial"/>
          <w:bCs/>
          <w:spacing w:val="-3"/>
          <w:sz w:val="22"/>
          <w:szCs w:val="22"/>
        </w:rPr>
        <w:t xml:space="preserve">Queensland </w:t>
      </w:r>
      <w:r w:rsidR="00BA260B" w:rsidRPr="00BA260B">
        <w:rPr>
          <w:rFonts w:ascii="Arial" w:hAnsi="Arial" w:cs="Arial"/>
          <w:bCs/>
          <w:spacing w:val="-3"/>
          <w:sz w:val="22"/>
          <w:szCs w:val="22"/>
        </w:rPr>
        <w:t xml:space="preserve">Government Response to the Parliamentary Crime and Misconduct Committee Report No. 90, </w:t>
      </w:r>
      <w:r w:rsidR="00BA260B" w:rsidRPr="00BA260B">
        <w:rPr>
          <w:rFonts w:ascii="Arial" w:hAnsi="Arial" w:cs="Arial"/>
          <w:bCs/>
          <w:i/>
          <w:spacing w:val="-3"/>
          <w:sz w:val="22"/>
          <w:szCs w:val="22"/>
        </w:rPr>
        <w:t>Inquiry into the Crime and Misconduct Commission’s release and destruction of Fitzgerald Inquiry documents</w:t>
      </w:r>
      <w:r w:rsidR="002B11F5">
        <w:rPr>
          <w:rFonts w:ascii="Arial" w:hAnsi="Arial" w:cs="Arial"/>
          <w:bCs/>
          <w:i/>
          <w:spacing w:val="-3"/>
          <w:sz w:val="22"/>
          <w:szCs w:val="22"/>
        </w:rPr>
        <w:t xml:space="preserve"> </w:t>
      </w:r>
      <w:r w:rsidR="00BA260B" w:rsidRPr="00BA260B">
        <w:rPr>
          <w:rFonts w:ascii="Arial" w:hAnsi="Arial" w:cs="Arial"/>
          <w:bCs/>
          <w:spacing w:val="-3"/>
          <w:sz w:val="22"/>
          <w:szCs w:val="22"/>
        </w:rPr>
        <w:t xml:space="preserve">and the Independent Advisory Panel report, </w:t>
      </w:r>
      <w:r w:rsidR="00BA260B" w:rsidRPr="00BA260B">
        <w:rPr>
          <w:rFonts w:ascii="Arial" w:hAnsi="Arial" w:cs="Arial"/>
          <w:bCs/>
          <w:i/>
          <w:spacing w:val="-3"/>
          <w:sz w:val="22"/>
          <w:szCs w:val="22"/>
        </w:rPr>
        <w:t>Review of the Crime and Misconduct Act 2001 and related matters</w:t>
      </w:r>
      <w:r w:rsidR="00BA260B">
        <w:rPr>
          <w:rFonts w:ascii="Arial" w:hAnsi="Arial" w:cs="Arial"/>
          <w:sz w:val="22"/>
          <w:szCs w:val="22"/>
        </w:rPr>
        <w:t xml:space="preserve">. </w:t>
      </w:r>
    </w:p>
    <w:p w:rsidR="00E973BC" w:rsidRPr="00C07656" w:rsidRDefault="00E973BC" w:rsidP="00D53E79">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D53E79" w:rsidRPr="00D53E79" w:rsidRDefault="00BD0A92" w:rsidP="00635E9D">
      <w:pPr>
        <w:numPr>
          <w:ilvl w:val="0"/>
          <w:numId w:val="2"/>
        </w:numPr>
        <w:spacing w:before="120"/>
        <w:ind w:left="811"/>
        <w:jc w:val="both"/>
      </w:pPr>
      <w:hyperlink r:id="rId7" w:history="1">
        <w:r w:rsidR="00D53E79" w:rsidRPr="00850DEB">
          <w:rPr>
            <w:rStyle w:val="Hyperlink"/>
            <w:rFonts w:ascii="Arial" w:hAnsi="Arial" w:cs="Arial"/>
            <w:bCs/>
            <w:spacing w:val="-3"/>
            <w:sz w:val="22"/>
            <w:szCs w:val="22"/>
          </w:rPr>
          <w:t xml:space="preserve">Parliamentary Crime and Misconduct Committee Report No. 90, </w:t>
        </w:r>
        <w:r w:rsidR="00D53E79" w:rsidRPr="00850DEB">
          <w:rPr>
            <w:rStyle w:val="Hyperlink"/>
            <w:rFonts w:ascii="Arial" w:hAnsi="Arial" w:cs="Arial"/>
            <w:bCs/>
            <w:i/>
            <w:spacing w:val="-3"/>
            <w:sz w:val="22"/>
            <w:szCs w:val="22"/>
          </w:rPr>
          <w:t>Inquiry into the Crime and Misconduct Commission’s release and destruction of Fitzgerald Inquiry documents</w:t>
        </w:r>
      </w:hyperlink>
    </w:p>
    <w:p w:rsidR="00D53E79" w:rsidRPr="00D53E79" w:rsidRDefault="00BD0A92" w:rsidP="00635E9D">
      <w:pPr>
        <w:numPr>
          <w:ilvl w:val="0"/>
          <w:numId w:val="2"/>
        </w:numPr>
        <w:spacing w:before="120"/>
        <w:ind w:left="811"/>
        <w:jc w:val="both"/>
      </w:pPr>
      <w:hyperlink r:id="rId8" w:history="1">
        <w:r w:rsidR="00D53E79" w:rsidRPr="00850DEB">
          <w:rPr>
            <w:rStyle w:val="Hyperlink"/>
            <w:rFonts w:ascii="Arial" w:hAnsi="Arial" w:cs="Arial"/>
            <w:bCs/>
            <w:spacing w:val="-3"/>
            <w:sz w:val="22"/>
            <w:szCs w:val="22"/>
          </w:rPr>
          <w:t xml:space="preserve">Independent Advisory Panel report, </w:t>
        </w:r>
        <w:r w:rsidR="00D53E79" w:rsidRPr="00850DEB">
          <w:rPr>
            <w:rStyle w:val="Hyperlink"/>
            <w:rFonts w:ascii="Arial" w:hAnsi="Arial" w:cs="Arial"/>
            <w:bCs/>
            <w:i/>
            <w:spacing w:val="-3"/>
            <w:sz w:val="22"/>
            <w:szCs w:val="22"/>
          </w:rPr>
          <w:t>Review of the Crime and Misconduct Act 2001 and related matters</w:t>
        </w:r>
      </w:hyperlink>
    </w:p>
    <w:p w:rsidR="00E973BC" w:rsidRPr="00D6589B" w:rsidRDefault="00BD0A92" w:rsidP="00635E9D">
      <w:pPr>
        <w:numPr>
          <w:ilvl w:val="0"/>
          <w:numId w:val="2"/>
        </w:numPr>
        <w:spacing w:before="120"/>
        <w:ind w:left="811"/>
        <w:jc w:val="both"/>
      </w:pPr>
      <w:hyperlink r:id="rId9" w:history="1">
        <w:r w:rsidR="00BA260B" w:rsidRPr="00850DEB">
          <w:rPr>
            <w:rStyle w:val="Hyperlink"/>
            <w:rFonts w:ascii="Arial" w:hAnsi="Arial" w:cs="Arial"/>
            <w:bCs/>
            <w:spacing w:val="-3"/>
            <w:sz w:val="22"/>
            <w:szCs w:val="22"/>
          </w:rPr>
          <w:t>Queensland Government Response to the Parliamentary Crime and Misconduct Committee Report No. 90</w:t>
        </w:r>
        <w:r w:rsidR="00D53E79" w:rsidRPr="00850DEB">
          <w:rPr>
            <w:rStyle w:val="Hyperlink"/>
            <w:rFonts w:ascii="Arial" w:hAnsi="Arial" w:cs="Arial"/>
            <w:bCs/>
            <w:spacing w:val="-3"/>
            <w:sz w:val="22"/>
            <w:szCs w:val="22"/>
          </w:rPr>
          <w:t xml:space="preserve"> </w:t>
        </w:r>
        <w:r w:rsidR="00BA260B" w:rsidRPr="00850DEB">
          <w:rPr>
            <w:rStyle w:val="Hyperlink"/>
            <w:rFonts w:ascii="Arial" w:hAnsi="Arial" w:cs="Arial"/>
            <w:bCs/>
            <w:spacing w:val="-3"/>
            <w:sz w:val="22"/>
            <w:szCs w:val="22"/>
          </w:rPr>
          <w:t>and the Independent Advisory Panel report</w:t>
        </w:r>
      </w:hyperlink>
    </w:p>
    <w:sectPr w:rsidR="00E973BC" w:rsidRPr="00D6589B" w:rsidSect="00D53E79">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BE7" w:rsidRDefault="008C3BE7" w:rsidP="00D6589B">
      <w:r>
        <w:separator/>
      </w:r>
    </w:p>
  </w:endnote>
  <w:endnote w:type="continuationSeparator" w:id="0">
    <w:p w:rsidR="008C3BE7" w:rsidRDefault="008C3BE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BE7" w:rsidRDefault="008C3BE7" w:rsidP="00D6589B">
      <w:r>
        <w:separator/>
      </w:r>
    </w:p>
  </w:footnote>
  <w:footnote w:type="continuationSeparator" w:id="0">
    <w:p w:rsidR="008C3BE7" w:rsidRDefault="008C3BE7"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1A" w:rsidRPr="00937A4A" w:rsidRDefault="00493E1A" w:rsidP="00666033">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493E1A" w:rsidRPr="00937A4A" w:rsidRDefault="00493E1A" w:rsidP="00666033">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493E1A" w:rsidRPr="00937A4A" w:rsidRDefault="00493E1A" w:rsidP="00666033">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July 2013</w:t>
    </w:r>
  </w:p>
  <w:p w:rsidR="00493E1A" w:rsidRPr="009D069A" w:rsidRDefault="00493E1A" w:rsidP="00666033">
    <w:pPr>
      <w:keepLines/>
      <w:spacing w:before="120"/>
      <w:jc w:val="both"/>
      <w:rPr>
        <w:rFonts w:ascii="Arial" w:hAnsi="Arial" w:cs="Arial"/>
        <w:b/>
        <w:sz w:val="22"/>
        <w:szCs w:val="22"/>
        <w:u w:val="single"/>
      </w:rPr>
    </w:pPr>
    <w:bookmarkStart w:id="2" w:name="Text1"/>
    <w:r w:rsidRPr="009D069A">
      <w:rPr>
        <w:rFonts w:ascii="Arial" w:hAnsi="Arial" w:cs="Arial"/>
        <w:b/>
        <w:sz w:val="22"/>
        <w:szCs w:val="22"/>
        <w:u w:val="single"/>
      </w:rPr>
      <w:t xml:space="preserve">Queensland Government Response to the Parliamentary Crime and Misconduct Committee Report No. 90, </w:t>
    </w:r>
    <w:r w:rsidRPr="009D069A">
      <w:rPr>
        <w:rFonts w:ascii="Arial" w:hAnsi="Arial" w:cs="Arial"/>
        <w:b/>
        <w:i/>
        <w:sz w:val="22"/>
        <w:szCs w:val="22"/>
        <w:u w:val="single"/>
      </w:rPr>
      <w:t xml:space="preserve">Inquiry into the Crime and Misconduct Commission’s release and </w:t>
    </w:r>
    <w:bookmarkEnd w:id="2"/>
    <w:r w:rsidRPr="009D069A">
      <w:rPr>
        <w:rFonts w:ascii="Arial" w:hAnsi="Arial" w:cs="Arial"/>
        <w:b/>
        <w:i/>
        <w:sz w:val="22"/>
        <w:szCs w:val="22"/>
        <w:u w:val="single"/>
      </w:rPr>
      <w:t>destruction of Fitzgerald Inquiry documents</w:t>
    </w:r>
    <w:r w:rsidRPr="009D069A">
      <w:rPr>
        <w:rFonts w:ascii="Arial" w:hAnsi="Arial" w:cs="Arial"/>
        <w:b/>
        <w:sz w:val="22"/>
        <w:szCs w:val="22"/>
        <w:u w:val="single"/>
      </w:rPr>
      <w:t xml:space="preserve"> and the Independent Advisory Panel report, </w:t>
    </w:r>
    <w:r w:rsidRPr="009D069A">
      <w:rPr>
        <w:rFonts w:ascii="Arial" w:hAnsi="Arial" w:cs="Arial"/>
        <w:b/>
        <w:i/>
        <w:sz w:val="22"/>
        <w:szCs w:val="22"/>
        <w:u w:val="single"/>
      </w:rPr>
      <w:t>Review of the Crime and Misconduct Act 2001 and related matters</w:t>
    </w:r>
  </w:p>
  <w:p w:rsidR="00493E1A" w:rsidRPr="009D069A" w:rsidRDefault="00493E1A" w:rsidP="00666033">
    <w:pPr>
      <w:keepLines/>
      <w:spacing w:before="120"/>
      <w:ind w:left="1440" w:hanging="1440"/>
      <w:jc w:val="both"/>
      <w:rPr>
        <w:rFonts w:ascii="Arial" w:hAnsi="Arial" w:cs="Arial"/>
        <w:b/>
        <w:sz w:val="22"/>
        <w:szCs w:val="22"/>
        <w:u w:val="single"/>
      </w:rPr>
    </w:pPr>
    <w:r w:rsidRPr="009D069A">
      <w:rPr>
        <w:rFonts w:ascii="Arial" w:hAnsi="Arial" w:cs="Arial"/>
        <w:b/>
        <w:sz w:val="22"/>
        <w:szCs w:val="22"/>
        <w:u w:val="single"/>
      </w:rPr>
      <w:t>Attorney-General and Minister for Justice</w:t>
    </w:r>
  </w:p>
  <w:p w:rsidR="00493E1A" w:rsidRPr="002B11F5" w:rsidRDefault="00493E1A" w:rsidP="00666033">
    <w:pPr>
      <w:pBdr>
        <w:bottom w:val="single" w:sz="4" w:space="1" w:color="auto"/>
      </w:pBd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4228E"/>
    <w:multiLevelType w:val="hybridMultilevel"/>
    <w:tmpl w:val="D15EA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6AC8"/>
    <w:rsid w:val="000430DD"/>
    <w:rsid w:val="00080F8F"/>
    <w:rsid w:val="0008575A"/>
    <w:rsid w:val="000D70C8"/>
    <w:rsid w:val="00102858"/>
    <w:rsid w:val="00104546"/>
    <w:rsid w:val="001318FA"/>
    <w:rsid w:val="00140936"/>
    <w:rsid w:val="00174117"/>
    <w:rsid w:val="001C40A2"/>
    <w:rsid w:val="001E209B"/>
    <w:rsid w:val="001E7127"/>
    <w:rsid w:val="0021344B"/>
    <w:rsid w:val="002B11F5"/>
    <w:rsid w:val="002D649F"/>
    <w:rsid w:val="002F75F7"/>
    <w:rsid w:val="003A13A1"/>
    <w:rsid w:val="003B5871"/>
    <w:rsid w:val="00416D23"/>
    <w:rsid w:val="00493E1A"/>
    <w:rsid w:val="004E3AE1"/>
    <w:rsid w:val="00501C66"/>
    <w:rsid w:val="0050474C"/>
    <w:rsid w:val="00550873"/>
    <w:rsid w:val="005950AC"/>
    <w:rsid w:val="00635E9D"/>
    <w:rsid w:val="00637DFE"/>
    <w:rsid w:val="00654B0A"/>
    <w:rsid w:val="00666033"/>
    <w:rsid w:val="00732E22"/>
    <w:rsid w:val="00737FB4"/>
    <w:rsid w:val="00757B12"/>
    <w:rsid w:val="00787F13"/>
    <w:rsid w:val="00821E64"/>
    <w:rsid w:val="00850DEB"/>
    <w:rsid w:val="008A4523"/>
    <w:rsid w:val="008B3B3A"/>
    <w:rsid w:val="008C3BE7"/>
    <w:rsid w:val="008F44CD"/>
    <w:rsid w:val="00902DC7"/>
    <w:rsid w:val="0093748E"/>
    <w:rsid w:val="009D069A"/>
    <w:rsid w:val="009D501B"/>
    <w:rsid w:val="009E2C49"/>
    <w:rsid w:val="00A16417"/>
    <w:rsid w:val="00A22797"/>
    <w:rsid w:val="00A527A5"/>
    <w:rsid w:val="00A771DE"/>
    <w:rsid w:val="00AD7250"/>
    <w:rsid w:val="00AE69F0"/>
    <w:rsid w:val="00B76821"/>
    <w:rsid w:val="00BA260B"/>
    <w:rsid w:val="00BD0A92"/>
    <w:rsid w:val="00C07656"/>
    <w:rsid w:val="00C34A25"/>
    <w:rsid w:val="00C40FB0"/>
    <w:rsid w:val="00C75E67"/>
    <w:rsid w:val="00CB1501"/>
    <w:rsid w:val="00CE6FBA"/>
    <w:rsid w:val="00CF0D8A"/>
    <w:rsid w:val="00CF7EA6"/>
    <w:rsid w:val="00D53E79"/>
    <w:rsid w:val="00D6589B"/>
    <w:rsid w:val="00D75134"/>
    <w:rsid w:val="00DB6FE7"/>
    <w:rsid w:val="00DC5A21"/>
    <w:rsid w:val="00DE61EC"/>
    <w:rsid w:val="00E377F3"/>
    <w:rsid w:val="00E40004"/>
    <w:rsid w:val="00E973BC"/>
    <w:rsid w:val="00EA7163"/>
    <w:rsid w:val="00EB5415"/>
    <w:rsid w:val="00F10DF9"/>
    <w:rsid w:val="00F166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9D"/>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character" w:styleId="CommentReference">
    <w:name w:val="annotation reference"/>
    <w:basedOn w:val="DefaultParagraphFont"/>
    <w:semiHidden/>
    <w:rsid w:val="00BA260B"/>
    <w:rPr>
      <w:sz w:val="16"/>
      <w:szCs w:val="16"/>
    </w:rPr>
  </w:style>
  <w:style w:type="paragraph" w:styleId="CommentText">
    <w:name w:val="annotation text"/>
    <w:basedOn w:val="Normal"/>
    <w:semiHidden/>
    <w:rsid w:val="00BA260B"/>
    <w:rPr>
      <w:sz w:val="20"/>
    </w:rPr>
  </w:style>
  <w:style w:type="paragraph" w:styleId="CommentSubject">
    <w:name w:val="annotation subject"/>
    <w:basedOn w:val="CommentText"/>
    <w:next w:val="CommentText"/>
    <w:semiHidden/>
    <w:rsid w:val="00BA260B"/>
    <w:rPr>
      <w:b/>
      <w:bCs/>
    </w:rPr>
  </w:style>
  <w:style w:type="character" w:styleId="Hyperlink">
    <w:name w:val="Hyperlink"/>
    <w:basedOn w:val="DefaultParagraphFont"/>
    <w:rsid w:val="00850D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Independent%20Panel%20Report.pdf" TargetMode="External"/><Relationship Id="rId3" Type="http://schemas.openxmlformats.org/officeDocument/2006/relationships/settings" Target="settings.xml"/><Relationship Id="rId7" Type="http://schemas.openxmlformats.org/officeDocument/2006/relationships/hyperlink" Target="Attachments/Report%20No%209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Respon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2079</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2435</CharactersWithSpaces>
  <SharedDoc>false</SharedDoc>
  <HyperlinkBase>https://www.cabinet.qld.gov.au/documents/2013/Jul/Response CMC reports/</HyperlinkBase>
  <HLinks>
    <vt:vector size="18" baseType="variant">
      <vt:variant>
        <vt:i4>4915281</vt:i4>
      </vt:variant>
      <vt:variant>
        <vt:i4>6</vt:i4>
      </vt:variant>
      <vt:variant>
        <vt:i4>0</vt:i4>
      </vt:variant>
      <vt:variant>
        <vt:i4>5</vt:i4>
      </vt:variant>
      <vt:variant>
        <vt:lpwstr>Attachments/Response.pdf</vt:lpwstr>
      </vt:variant>
      <vt:variant>
        <vt:lpwstr/>
      </vt:variant>
      <vt:variant>
        <vt:i4>4915276</vt:i4>
      </vt:variant>
      <vt:variant>
        <vt:i4>3</vt:i4>
      </vt:variant>
      <vt:variant>
        <vt:i4>0</vt:i4>
      </vt:variant>
      <vt:variant>
        <vt:i4>5</vt:i4>
      </vt:variant>
      <vt:variant>
        <vt:lpwstr>Attachments/Independent Panel Report.pdf</vt:lpwstr>
      </vt:variant>
      <vt:variant>
        <vt:lpwstr/>
      </vt:variant>
      <vt:variant>
        <vt:i4>5570634</vt:i4>
      </vt:variant>
      <vt:variant>
        <vt:i4>0</vt:i4>
      </vt:variant>
      <vt:variant>
        <vt:i4>0</vt:i4>
      </vt:variant>
      <vt:variant>
        <vt:i4>5</vt:i4>
      </vt:variant>
      <vt:variant>
        <vt:lpwstr>Attachments/Report No 90.pdf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2013-09-25T05:02:00Z</cp:lastPrinted>
  <dcterms:created xsi:type="dcterms:W3CDTF">2017-10-25T00:51:00Z</dcterms:created>
  <dcterms:modified xsi:type="dcterms:W3CDTF">2018-03-06T01:18:00Z</dcterms:modified>
  <cp:category>Crime_and_Misconduct_Commission,Committees,Public_Records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30723490</vt:i4>
  </property>
  <property fmtid="{D5CDD505-2E9C-101B-9397-08002B2CF9AE}" pid="3" name="_NewReviewCycle">
    <vt:lpwstr/>
  </property>
  <property fmtid="{D5CDD505-2E9C-101B-9397-08002B2CF9AE}" pid="4" name="_PreviousAdHocReviewCycleID">
    <vt:i4>-731068445</vt:i4>
  </property>
  <property fmtid="{D5CDD505-2E9C-101B-9397-08002B2CF9AE}" pid="5" name="_ReviewingToolsShownOnce">
    <vt:lpwstr/>
  </property>
</Properties>
</file>